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884" w:type="dxa"/>
        <w:tblInd w:w="-431" w:type="dxa"/>
        <w:tblLook w:val="04A0"/>
      </w:tblPr>
      <w:tblGrid>
        <w:gridCol w:w="8926"/>
        <w:gridCol w:w="3549"/>
        <w:gridCol w:w="2409"/>
      </w:tblGrid>
      <w:tr w:rsidR="005E4DC3" w:rsidRPr="00C1789F" w:rsidTr="005E4DC3">
        <w:tc>
          <w:tcPr>
            <w:tcW w:w="12475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:rsidR="005E4DC3" w:rsidRPr="004E13B2" w:rsidRDefault="005E4DC3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bookmarkStart w:id="0" w:name="_GoBack" w:colFirst="2" w:colLast="2"/>
            <w:r w:rsidRPr="004E13B2">
              <w:rPr>
                <w:rFonts w:ascii="Times New Roman" w:eastAsia="Calibri" w:hAnsi="Times New Roman" w:cs="Times New Roman"/>
                <w:b/>
                <w:lang w:val="bg-BG"/>
              </w:rPr>
              <w:t>ПРИНЦИП 4.</w:t>
            </w:r>
            <w:r w:rsidRPr="004E13B2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4E13B2">
              <w:rPr>
                <w:rFonts w:ascii="Times New Roman" w:eastAsia="Calibri" w:hAnsi="Times New Roman" w:cs="Times New Roman"/>
                <w:b/>
              </w:rPr>
              <w:t>ОТКРИТОСТ И ПРОЗРАЧНОСТ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4E13B2" w:rsidRPr="00C25E62" w:rsidRDefault="004E13B2" w:rsidP="004E13B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ОБЩИНА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ДОСПАТ</w:t>
            </w:r>
          </w:p>
          <w:p w:rsidR="005E4DC3" w:rsidRPr="00C1789F" w:rsidRDefault="005E4DC3" w:rsidP="009C4856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  <w:tr w:rsidR="00B9657B" w:rsidRPr="00C1789F" w:rsidTr="00B9657B">
        <w:tc>
          <w:tcPr>
            <w:tcW w:w="8926" w:type="dxa"/>
            <w:shd w:val="clear" w:color="auto" w:fill="auto"/>
          </w:tcPr>
          <w:p w:rsidR="009C4856" w:rsidRPr="004E13B2" w:rsidRDefault="009C4856" w:rsidP="009C48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4E13B2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4856" w:rsidRPr="004E13B2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4E13B2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:rsidR="009C4856" w:rsidRPr="004E13B2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4E13B2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4E13B2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C1789F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512E96" w:rsidRPr="00C1789F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:rsidR="00512E96" w:rsidRPr="004E13B2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4E13B2">
              <w:rPr>
                <w:rFonts w:ascii="Times New Roman" w:eastAsia="Calibri" w:hAnsi="Times New Roman" w:cs="Times New Roman"/>
                <w:b/>
                <w:lang w:val="bg-BG"/>
              </w:rPr>
              <w:t>ДЕЙНОСТ 1. Решенията се взимат и изпълняват в съответствие с правила и нормативна уредба.</w:t>
            </w:r>
          </w:p>
        </w:tc>
      </w:tr>
      <w:tr w:rsidR="004E13B2" w:rsidRPr="00C1789F" w:rsidTr="00C67596">
        <w:tc>
          <w:tcPr>
            <w:tcW w:w="8926" w:type="dxa"/>
            <w:shd w:val="clear" w:color="auto" w:fill="auto"/>
          </w:tcPr>
          <w:p w:rsidR="004E13B2" w:rsidRPr="004E13B2" w:rsidRDefault="004E13B2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4E13B2">
              <w:rPr>
                <w:rFonts w:ascii="Times New Roman" w:eastAsia="Calibri" w:hAnsi="Times New Roman" w:cs="Times New Roman"/>
                <w:b/>
                <w:lang w:val="bg-BG"/>
              </w:rPr>
              <w:t>Индикатор 1.</w:t>
            </w:r>
            <w:r w:rsidRPr="004E13B2">
              <w:rPr>
                <w:rFonts w:ascii="Times New Roman" w:eastAsia="Calibri" w:hAnsi="Times New Roman" w:cs="Times New Roman"/>
                <w:iCs/>
                <w:noProof/>
                <w:lang w:val="bg-BG" w:eastAsia="bg-BG"/>
              </w:rPr>
              <w:t xml:space="preserve"> </w:t>
            </w:r>
            <w:r w:rsidRPr="004E13B2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Общината има ясна и добре разбираема нормативна уредба, която е широко оповестена. Тя включва схема за делегиране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решенията.</w:t>
            </w:r>
          </w:p>
        </w:tc>
        <w:tc>
          <w:tcPr>
            <w:tcW w:w="3549" w:type="dxa"/>
            <w:shd w:val="clear" w:color="auto" w:fill="FFFFFF" w:themeFill="background1"/>
          </w:tcPr>
          <w:p w:rsidR="004E13B2" w:rsidRPr="004E13B2" w:rsidRDefault="004E13B2" w:rsidP="004E13B2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4E13B2">
              <w:rPr>
                <w:rFonts w:ascii="Times New Roman" w:hAnsi="Times New Roman" w:cs="Times New Roman"/>
              </w:rPr>
              <w:t>Индикаторът е адекватно документиран чрез съответстващи на изискванията доказателства.</w:t>
            </w:r>
          </w:p>
        </w:tc>
        <w:tc>
          <w:tcPr>
            <w:tcW w:w="2409" w:type="dxa"/>
            <w:shd w:val="clear" w:color="auto" w:fill="FFFFFF" w:themeFill="background1"/>
          </w:tcPr>
          <w:p w:rsidR="004E13B2" w:rsidRDefault="004E13B2" w:rsidP="004E13B2">
            <w:pPr>
              <w:jc w:val="center"/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E13B2" w:rsidRPr="00C1789F" w:rsidTr="00C67596">
        <w:tc>
          <w:tcPr>
            <w:tcW w:w="8926" w:type="dxa"/>
            <w:shd w:val="clear" w:color="auto" w:fill="auto"/>
          </w:tcPr>
          <w:p w:rsidR="004E13B2" w:rsidRPr="004E13B2" w:rsidRDefault="004E13B2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4E13B2">
              <w:rPr>
                <w:rFonts w:ascii="Times New Roman" w:eastAsia="Calibri" w:hAnsi="Times New Roman" w:cs="Times New Roman"/>
                <w:b/>
                <w:lang w:val="bg-BG"/>
              </w:rPr>
              <w:t>Индикатор 2. 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</w:t>
            </w:r>
          </w:p>
        </w:tc>
        <w:tc>
          <w:tcPr>
            <w:tcW w:w="3549" w:type="dxa"/>
            <w:shd w:val="clear" w:color="auto" w:fill="FFFFFF" w:themeFill="background1"/>
          </w:tcPr>
          <w:p w:rsidR="004E13B2" w:rsidRPr="004E13B2" w:rsidRDefault="004E13B2" w:rsidP="00B94A1B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4E13B2">
              <w:rPr>
                <w:rFonts w:ascii="Times New Roman" w:hAnsi="Times New Roman" w:cs="Times New Roman"/>
              </w:rPr>
              <w:t xml:space="preserve">Доказателствата, приложени </w:t>
            </w:r>
            <w:r w:rsidR="00B94A1B">
              <w:rPr>
                <w:rFonts w:ascii="Times New Roman" w:hAnsi="Times New Roman" w:cs="Times New Roman"/>
                <w:lang w:val="bg-BG"/>
              </w:rPr>
              <w:t>във</w:t>
            </w:r>
            <w:r w:rsidRPr="004E13B2">
              <w:rPr>
                <w:rFonts w:ascii="Times New Roman" w:hAnsi="Times New Roman" w:cs="Times New Roman"/>
                <w:lang w:val="bg-BG"/>
              </w:rPr>
              <w:t xml:space="preserve"> формуляра</w:t>
            </w:r>
            <w:r w:rsidRPr="004E13B2">
              <w:rPr>
                <w:rFonts w:ascii="Times New Roman" w:hAnsi="Times New Roman" w:cs="Times New Roman"/>
              </w:rPr>
              <w:t>, обективно потвърждават изпълнението на индикатора.</w:t>
            </w:r>
          </w:p>
        </w:tc>
        <w:tc>
          <w:tcPr>
            <w:tcW w:w="2409" w:type="dxa"/>
            <w:shd w:val="clear" w:color="auto" w:fill="FFFFFF" w:themeFill="background1"/>
          </w:tcPr>
          <w:p w:rsidR="004E13B2" w:rsidRDefault="004E13B2" w:rsidP="004E13B2">
            <w:pPr>
              <w:jc w:val="center"/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E13B2" w:rsidRPr="00C1789F" w:rsidTr="00C67596">
        <w:tc>
          <w:tcPr>
            <w:tcW w:w="8926" w:type="dxa"/>
            <w:shd w:val="clear" w:color="auto" w:fill="auto"/>
          </w:tcPr>
          <w:p w:rsidR="004E13B2" w:rsidRPr="004E13B2" w:rsidRDefault="004E13B2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4E13B2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3. </w:t>
            </w:r>
            <w:r w:rsidRPr="004E13B2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Налице е процедура за обжалване на решенията, която е широко достъпна и разбираема.</w:t>
            </w:r>
          </w:p>
        </w:tc>
        <w:tc>
          <w:tcPr>
            <w:tcW w:w="3549" w:type="dxa"/>
            <w:shd w:val="clear" w:color="auto" w:fill="FFFFFF" w:themeFill="background1"/>
          </w:tcPr>
          <w:p w:rsidR="004E13B2" w:rsidRPr="004E13B2" w:rsidRDefault="004E13B2" w:rsidP="004E13B2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4E13B2">
              <w:rPr>
                <w:rFonts w:ascii="Times New Roman" w:hAnsi="Times New Roman" w:cs="Times New Roman"/>
              </w:rPr>
              <w:t>Предоставените материали потвърждават изпълнението на този индикатор.</w:t>
            </w:r>
          </w:p>
        </w:tc>
        <w:tc>
          <w:tcPr>
            <w:tcW w:w="2409" w:type="dxa"/>
            <w:shd w:val="clear" w:color="auto" w:fill="FFFFFF" w:themeFill="background1"/>
          </w:tcPr>
          <w:p w:rsidR="004E13B2" w:rsidRDefault="004E13B2" w:rsidP="004E13B2">
            <w:pPr>
              <w:jc w:val="center"/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E13B2" w:rsidRPr="00C1789F" w:rsidTr="00C67596">
        <w:tc>
          <w:tcPr>
            <w:tcW w:w="8926" w:type="dxa"/>
            <w:shd w:val="clear" w:color="auto" w:fill="auto"/>
          </w:tcPr>
          <w:p w:rsidR="004E13B2" w:rsidRPr="004E13B2" w:rsidRDefault="004E13B2" w:rsidP="00C1789F">
            <w:pPr>
              <w:rPr>
                <w:rFonts w:ascii="Times New Roman" w:eastAsia="Calibri" w:hAnsi="Times New Roman" w:cs="Times New Roman"/>
                <w:b/>
              </w:rPr>
            </w:pPr>
            <w:r w:rsidRPr="004E13B2">
              <w:rPr>
                <w:rFonts w:ascii="Times New Roman" w:eastAsia="Calibri" w:hAnsi="Times New Roman" w:cs="Times New Roman"/>
                <w:b/>
                <w:lang w:val="bg-BG"/>
              </w:rPr>
              <w:t>Индикатор 4. В съответствие с изискванията на закона, опозицията в ОбС внася предложения и запитвания, инициира провеждането на заседания и свикване на анкетни комисии по определени теми, и е представена в структурите на съвета.</w:t>
            </w:r>
          </w:p>
        </w:tc>
        <w:tc>
          <w:tcPr>
            <w:tcW w:w="3549" w:type="dxa"/>
            <w:shd w:val="clear" w:color="auto" w:fill="FFFFFF" w:themeFill="background1"/>
          </w:tcPr>
          <w:p w:rsidR="004E13B2" w:rsidRPr="004E13B2" w:rsidRDefault="004E13B2" w:rsidP="004E13B2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4E13B2">
              <w:rPr>
                <w:rFonts w:ascii="Times New Roman" w:hAnsi="Times New Roman" w:cs="Times New Roman"/>
              </w:rPr>
              <w:t>Има налични и проверими доказателства за спазване на критериите по индикатора.</w:t>
            </w:r>
          </w:p>
        </w:tc>
        <w:tc>
          <w:tcPr>
            <w:tcW w:w="2409" w:type="dxa"/>
            <w:shd w:val="clear" w:color="auto" w:fill="FFFFFF" w:themeFill="background1"/>
          </w:tcPr>
          <w:p w:rsidR="004E13B2" w:rsidRDefault="004E13B2" w:rsidP="004E13B2">
            <w:pPr>
              <w:jc w:val="center"/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12E96" w:rsidRPr="00C1789F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:rsidR="00512E96" w:rsidRPr="004E13B2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4E13B2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4E13B2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4E13B2">
              <w:rPr>
                <w:rFonts w:ascii="Times New Roman" w:eastAsia="Calibri" w:hAnsi="Times New Roman" w:cs="Times New Roman"/>
                <w:b/>
                <w:lang w:val="bg-BG"/>
              </w:rPr>
              <w:t>Съществува публичен достъп до цялата информация, която не е класифицирана по ясно определени причини и по ред, определен съгласно закона (например - защита на личните данни или гарантиране на справедливо провеждане на процедури по обществени поръчки).</w:t>
            </w:r>
          </w:p>
        </w:tc>
      </w:tr>
      <w:tr w:rsidR="004E13B2" w:rsidRPr="00C1789F" w:rsidTr="001B4D19">
        <w:tc>
          <w:tcPr>
            <w:tcW w:w="8926" w:type="dxa"/>
            <w:shd w:val="clear" w:color="auto" w:fill="auto"/>
          </w:tcPr>
          <w:p w:rsidR="004E13B2" w:rsidRPr="004E13B2" w:rsidRDefault="004E13B2" w:rsidP="00C1789F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4E13B2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5. </w:t>
            </w:r>
            <w:r w:rsidRPr="004E13B2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Общината гарантира редовните и лесни контакти на гражданите с изборните представители.</w:t>
            </w:r>
          </w:p>
        </w:tc>
        <w:tc>
          <w:tcPr>
            <w:tcW w:w="3549" w:type="dxa"/>
            <w:shd w:val="clear" w:color="auto" w:fill="FFFFFF" w:themeFill="background1"/>
          </w:tcPr>
          <w:p w:rsidR="004E13B2" w:rsidRPr="004E13B2" w:rsidRDefault="004E13B2" w:rsidP="004E13B2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4E13B2">
              <w:rPr>
                <w:rFonts w:ascii="Times New Roman" w:hAnsi="Times New Roman" w:cs="Times New Roman"/>
                <w:lang w:val="bg-BG"/>
              </w:rPr>
              <w:t>Индикаторът</w:t>
            </w:r>
            <w:r w:rsidRPr="004E13B2">
              <w:rPr>
                <w:rFonts w:ascii="Times New Roman" w:hAnsi="Times New Roman" w:cs="Times New Roman"/>
              </w:rPr>
              <w:t xml:space="preserve"> е надлежно документиран и доказан.</w:t>
            </w:r>
          </w:p>
        </w:tc>
        <w:tc>
          <w:tcPr>
            <w:tcW w:w="2409" w:type="dxa"/>
            <w:shd w:val="clear" w:color="auto" w:fill="FFFFFF" w:themeFill="background1"/>
          </w:tcPr>
          <w:p w:rsidR="004E13B2" w:rsidRDefault="004E13B2" w:rsidP="004E13B2">
            <w:pPr>
              <w:jc w:val="center"/>
            </w:pPr>
            <w:r w:rsidRPr="00131877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E13B2" w:rsidRPr="00C1789F" w:rsidTr="001B4D19">
        <w:tc>
          <w:tcPr>
            <w:tcW w:w="8926" w:type="dxa"/>
            <w:shd w:val="clear" w:color="auto" w:fill="auto"/>
          </w:tcPr>
          <w:p w:rsidR="004E13B2" w:rsidRPr="004E13B2" w:rsidRDefault="004E13B2" w:rsidP="00C1789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4E13B2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6. Общинската администрация активно информира населението за своята дейност и дейността на ОбС. Заседанията на ОбС са отворени за обществеността и медиите, а дневният ред и документите са публично достъпни. </w:t>
            </w:r>
          </w:p>
        </w:tc>
        <w:tc>
          <w:tcPr>
            <w:tcW w:w="3549" w:type="dxa"/>
            <w:shd w:val="clear" w:color="auto" w:fill="FFFFFF" w:themeFill="background1"/>
          </w:tcPr>
          <w:p w:rsidR="004E13B2" w:rsidRPr="004E13B2" w:rsidRDefault="004E13B2" w:rsidP="004E13B2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4E13B2">
              <w:rPr>
                <w:rFonts w:ascii="Times New Roman" w:hAnsi="Times New Roman" w:cs="Times New Roman"/>
              </w:rPr>
              <w:t>Индикаторът е подкрепен с релевантни доказателства и приложения.</w:t>
            </w:r>
          </w:p>
        </w:tc>
        <w:tc>
          <w:tcPr>
            <w:tcW w:w="2409" w:type="dxa"/>
            <w:shd w:val="clear" w:color="auto" w:fill="FFFFFF" w:themeFill="background1"/>
          </w:tcPr>
          <w:p w:rsidR="004E13B2" w:rsidRDefault="004E13B2" w:rsidP="004E13B2">
            <w:pPr>
              <w:jc w:val="center"/>
            </w:pPr>
            <w:r w:rsidRPr="00131877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12E96" w:rsidRPr="00C1789F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:rsidR="00512E96" w:rsidRPr="004E13B2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4E13B2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3. Информация за решенията, прилагането на политиките и резултатите се предоставя на разположение на обществеността по такъв начин, че тя да може ефективно да следва и да допринася за работата на местната власт.</w:t>
            </w:r>
          </w:p>
        </w:tc>
      </w:tr>
      <w:tr w:rsidR="004E13B2" w:rsidRPr="00C1789F" w:rsidTr="00C0556C">
        <w:tc>
          <w:tcPr>
            <w:tcW w:w="8926" w:type="dxa"/>
            <w:shd w:val="clear" w:color="auto" w:fill="auto"/>
          </w:tcPr>
          <w:p w:rsidR="004E13B2" w:rsidRPr="004E13B2" w:rsidRDefault="004E13B2" w:rsidP="004E13B2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4E13B2">
              <w:rPr>
                <w:rFonts w:ascii="Times New Roman" w:eastAsia="Calibri" w:hAnsi="Times New Roman" w:cs="Times New Roman"/>
                <w:b/>
                <w:lang w:val="bg-BG"/>
              </w:rPr>
              <w:t>Индикатор 7.</w:t>
            </w:r>
            <w:r w:rsidRPr="004E13B2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има ежегодна работна програма, която е публично достъпна и при докладване на резултатите се взема предвид приноса на гражданите и изборните представители.</w:t>
            </w:r>
          </w:p>
        </w:tc>
        <w:tc>
          <w:tcPr>
            <w:tcW w:w="3549" w:type="dxa"/>
            <w:shd w:val="clear" w:color="auto" w:fill="FFFFFF" w:themeFill="background1"/>
          </w:tcPr>
          <w:p w:rsidR="004E13B2" w:rsidRPr="004E13B2" w:rsidRDefault="004E13B2" w:rsidP="004E13B2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4E13B2">
              <w:rPr>
                <w:rFonts w:ascii="Times New Roman" w:hAnsi="Times New Roman" w:cs="Times New Roman"/>
              </w:rPr>
              <w:t>Представени са достатъчно аргументи и документи в подкрепа на изпълнението на индикатора.</w:t>
            </w:r>
          </w:p>
        </w:tc>
        <w:tc>
          <w:tcPr>
            <w:tcW w:w="2409" w:type="dxa"/>
            <w:shd w:val="clear" w:color="auto" w:fill="FFFFFF" w:themeFill="background1"/>
          </w:tcPr>
          <w:p w:rsidR="004E13B2" w:rsidRDefault="004E13B2" w:rsidP="004E13B2">
            <w:pPr>
              <w:jc w:val="center"/>
            </w:pPr>
            <w:r w:rsidRPr="00AE5394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E13B2" w:rsidRPr="00C1789F" w:rsidTr="00C0556C">
        <w:tc>
          <w:tcPr>
            <w:tcW w:w="8926" w:type="dxa"/>
            <w:shd w:val="clear" w:color="auto" w:fill="auto"/>
          </w:tcPr>
          <w:p w:rsidR="004E13B2" w:rsidRPr="004E13B2" w:rsidRDefault="004E13B2" w:rsidP="004E13B2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4E13B2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</w:t>
            </w:r>
            <w:r w:rsidRPr="004E13B2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Изборните представители показват откритост към медиите, както и готовност да предоставят информация</w:t>
            </w:r>
          </w:p>
        </w:tc>
        <w:tc>
          <w:tcPr>
            <w:tcW w:w="3549" w:type="dxa"/>
            <w:shd w:val="clear" w:color="auto" w:fill="FFFFFF" w:themeFill="background1"/>
          </w:tcPr>
          <w:p w:rsidR="004E13B2" w:rsidRPr="004E13B2" w:rsidRDefault="004E13B2" w:rsidP="004E13B2">
            <w:pPr>
              <w:pStyle w:val="a8"/>
              <w:ind w:left="10"/>
              <w:rPr>
                <w:b/>
                <w:sz w:val="22"/>
                <w:szCs w:val="22"/>
                <w:lang w:val="bg-BG"/>
              </w:rPr>
            </w:pPr>
            <w:r w:rsidRPr="004E13B2">
              <w:rPr>
                <w:rStyle w:val="a9"/>
                <w:b w:val="0"/>
                <w:sz w:val="22"/>
                <w:szCs w:val="22"/>
              </w:rPr>
              <w:t>Документацията е достатъчна за обективно отчитане на изпълнението на индикатора.</w:t>
            </w:r>
          </w:p>
        </w:tc>
        <w:tc>
          <w:tcPr>
            <w:tcW w:w="2409" w:type="dxa"/>
            <w:shd w:val="clear" w:color="auto" w:fill="FFFFFF" w:themeFill="background1"/>
          </w:tcPr>
          <w:p w:rsidR="004E13B2" w:rsidRDefault="004E13B2" w:rsidP="004E13B2">
            <w:pPr>
              <w:jc w:val="center"/>
            </w:pPr>
            <w:r w:rsidRPr="00AE5394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9657B" w:rsidRPr="00C1789F" w:rsidTr="009B122F">
        <w:tc>
          <w:tcPr>
            <w:tcW w:w="8926" w:type="dxa"/>
            <w:shd w:val="clear" w:color="auto" w:fill="E2EFD9" w:themeFill="accent6" w:themeFillTint="33"/>
          </w:tcPr>
          <w:p w:rsidR="00B9657B" w:rsidRPr="004E13B2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B9657B" w:rsidRPr="004E13B2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4E13B2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4:</w:t>
            </w:r>
          </w:p>
          <w:p w:rsidR="00B9657B" w:rsidRPr="004E13B2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8" w:type="dxa"/>
            <w:gridSpan w:val="2"/>
            <w:shd w:val="clear" w:color="auto" w:fill="E2EFD9" w:themeFill="accent6" w:themeFillTint="33"/>
          </w:tcPr>
          <w:p w:rsidR="00B9657B" w:rsidRPr="004E13B2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9657B" w:rsidRPr="004E13B2" w:rsidRDefault="004E13B2" w:rsidP="004E13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4E13B2"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  <w:bookmarkEnd w:id="0"/>
    </w:tbl>
    <w:p w:rsidR="00246FD8" w:rsidRDefault="00246FD8"/>
    <w:sectPr w:rsidR="00246FD8" w:rsidSect="00B9657B">
      <w:headerReference w:type="default" r:id="rId7"/>
      <w:pgSz w:w="16838" w:h="11906" w:orient="landscape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EA3" w:rsidRDefault="00FB3EA3" w:rsidP="00F341FC">
      <w:pPr>
        <w:spacing w:after="0" w:line="240" w:lineRule="auto"/>
      </w:pPr>
      <w:r>
        <w:separator/>
      </w:r>
    </w:p>
  </w:endnote>
  <w:endnote w:type="continuationSeparator" w:id="0">
    <w:p w:rsidR="00FB3EA3" w:rsidRDefault="00FB3EA3" w:rsidP="00F34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EA3" w:rsidRDefault="00FB3EA3" w:rsidP="00F341FC">
      <w:pPr>
        <w:spacing w:after="0" w:line="240" w:lineRule="auto"/>
      </w:pPr>
      <w:r>
        <w:separator/>
      </w:r>
    </w:p>
  </w:footnote>
  <w:footnote w:type="continuationSeparator" w:id="0">
    <w:p w:rsidR="00FB3EA3" w:rsidRDefault="00FB3EA3" w:rsidP="00F34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1FC" w:rsidRPr="00F341FC" w:rsidRDefault="00F341FC" w:rsidP="00F341FC">
    <w:pPr>
      <w:pStyle w:val="a4"/>
      <w:jc w:val="right"/>
      <w:rPr>
        <w:rFonts w:ascii="Times New Roman" w:hAnsi="Times New Roman" w:cs="Times New Roman"/>
        <w:b/>
      </w:rPr>
    </w:pPr>
    <w:r w:rsidRPr="00F341FC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D2C15"/>
    <w:multiLevelType w:val="hybridMultilevel"/>
    <w:tmpl w:val="AB94CEA4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21C1"/>
    <w:rsid w:val="00175522"/>
    <w:rsid w:val="00246FD8"/>
    <w:rsid w:val="0037710A"/>
    <w:rsid w:val="004E13B2"/>
    <w:rsid w:val="00512E96"/>
    <w:rsid w:val="005E4DC3"/>
    <w:rsid w:val="006B0593"/>
    <w:rsid w:val="008421C1"/>
    <w:rsid w:val="009C4856"/>
    <w:rsid w:val="00A27C41"/>
    <w:rsid w:val="00A43465"/>
    <w:rsid w:val="00B94A1B"/>
    <w:rsid w:val="00B9657B"/>
    <w:rsid w:val="00C1239F"/>
    <w:rsid w:val="00C1789F"/>
    <w:rsid w:val="00F341FC"/>
    <w:rsid w:val="00FB3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1C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F341FC"/>
  </w:style>
  <w:style w:type="paragraph" w:styleId="a6">
    <w:name w:val="footer"/>
    <w:basedOn w:val="a"/>
    <w:link w:val="a7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F341FC"/>
  </w:style>
  <w:style w:type="paragraph" w:styleId="a8">
    <w:name w:val="Normal (Web)"/>
    <w:basedOn w:val="a"/>
    <w:uiPriority w:val="99"/>
    <w:unhideWhenUsed/>
    <w:rsid w:val="004E1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9">
    <w:name w:val="Strong"/>
    <w:basedOn w:val="a0"/>
    <w:uiPriority w:val="22"/>
    <w:qFormat/>
    <w:rsid w:val="004E13B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Sisi</cp:lastModifiedBy>
  <cp:revision>3</cp:revision>
  <dcterms:created xsi:type="dcterms:W3CDTF">2025-06-08T16:30:00Z</dcterms:created>
  <dcterms:modified xsi:type="dcterms:W3CDTF">2025-06-08T16:30:00Z</dcterms:modified>
</cp:coreProperties>
</file>